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PAYMENT CLAIM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letterhead / ABN]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Date of claim: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 + ABN]</w:t>
      </w:r>
      <w:r>
        <w:rPr>
          <w:rFonts w:ascii="Calibri" w:cs="Calibri" w:eastAsia="Calibri" w:hAnsi="Calibri"/>
          <w:sz w:val="22"/>
          <w:szCs w:val="22"/>
        </w:rPr>
        <w:t xml:space="preserve">, 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 / accounts]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>,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Claim reference: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[progress claim no. X]</w:t>
      </w:r>
      <w:r>
        <w:rPr>
          <w:rFonts w:ascii="Calibri" w:cs="Calibri" w:eastAsia="Calibri" w:hAnsi="Calibri"/>
          <w:sz w:val="22"/>
          <w:szCs w:val="22"/>
        </w:rPr>
        <w:t xml:space="preserve"> for the period ending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is a payment claim made under the Building Industry Fairness (Security of Payment) Act 2017 (QLD).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Amount claimed: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excluding GST ($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including GST)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The construction work to which this claim relates: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[summary, e.g. electrical services to levels 1-3 including rough-in and fit-off per the attached progress claim schedule]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Attached in support: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Progress claim schedule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 X]</w:t>
      </w:r>
      <w:r>
        <w:rPr>
          <w:rFonts w:ascii="Calibri" w:cs="Calibri" w:eastAsia="Calibri" w:hAnsi="Calibri"/>
          <w:sz w:val="22"/>
          <w:szCs w:val="22"/>
        </w:rPr>
        <w:t xml:space="preserve"> itemising work claimed against the contract sum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[Approved variation register / delivery dockets / site instruction references as applicable]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Payment of the claimed amount is due in accordance with the contract and the Act. Please direct any payment schedule in response to this claim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cover (QLD)</dc:title>
  <cp:lastModifiedBy>Un-named</cp:lastModifiedBy>
  <cp:revision>1</cp:revision>
  <dcterms:created xsi:type="dcterms:W3CDTF">2026-10-21T14:04:15.383Z</dcterms:created>
  <dcterms:modified xsi:type="dcterms:W3CDTF">2026-10-21T14:04:15.385Z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