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PAYMENT CLAIM NO. </w:t>
      </w:r>
      <w:r>
        <w:rPr>
          <w:rFonts w:ascii="Calibri" w:cs="Calibri" w:eastAsia="Calibri" w:hAnsi="Calibri"/>
          <w:b/>
          <w:bCs/>
          <w:sz w:val="26"/>
          <w:szCs w:val="26"/>
          <w:highlight w:val="yellow"/>
        </w:rPr>
        <w:t xml:space="preserve">[X]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[Address, phone, email]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exactly as named in the subcontract,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Work claimed: work carried out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is a payment claim made under the Building and Construction Industry (Security of Payment) Act 2021 (WA).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Claimed amount: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SCHEDULE OF WORK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value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to date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rough-in, levels 1 to 3]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switchboards supplied and installed]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 a row for each part of the scope]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VARIATIONS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Directed by and date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[V1]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[V2]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(ex GST)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contract work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variations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value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retention held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amounts previously paid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claimed this claim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 including 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Supporting documents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photos / delivery dockets / variation register / site instructions]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Please send any payment schedule in response to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template WA</dc:title>
  <cp:lastModifiedBy>Un-named</cp:lastModifiedBy>
  <cp:revision>1</cp:revision>
  <dcterms:created xsi:type="dcterms:W3CDTF">2026-10-21T15:02:42.446Z</dcterms:created>
  <dcterms:modified xsi:type="dcterms:W3CDTF">2026-10-21T15:02:42.446Z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